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831" w:rsidRDefault="00EF7831">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F7831" w:rsidRDefault="00EF7831">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sidR="00AF2596">
        <w:rPr>
          <w:rFonts w:cs="Arial"/>
          <w:b/>
          <w:bCs/>
        </w:rPr>
        <w:t>Council</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AF2596">
        <w:rPr>
          <w:rFonts w:cs="Arial"/>
          <w:b/>
          <w:bCs/>
        </w:rPr>
        <w:t>1</w:t>
      </w:r>
      <w:r w:rsidR="00760D3E">
        <w:rPr>
          <w:rFonts w:cs="Arial"/>
          <w:b/>
          <w:bCs/>
        </w:rPr>
        <w:t>3</w:t>
      </w:r>
      <w:r w:rsidR="00AF2596">
        <w:rPr>
          <w:rFonts w:cs="Arial"/>
          <w:b/>
          <w:bCs/>
        </w:rPr>
        <w:t xml:space="preserve"> April 2015</w:t>
      </w:r>
      <w:r w:rsidR="00590AE7">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AF2596">
        <w:rPr>
          <w:rFonts w:cs="Arial"/>
          <w:b/>
          <w:bCs/>
        </w:rPr>
        <w:t>Human Resources and Facilities</w:t>
      </w:r>
      <w:r>
        <w:rPr>
          <w:rFonts w:cs="Arial"/>
          <w:b/>
          <w:bCs/>
        </w:rPr>
        <w:tab/>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AF2596">
        <w:rPr>
          <w:rFonts w:cs="Arial"/>
          <w:b/>
          <w:bCs/>
        </w:rPr>
        <w:t>Employment Policies</w:t>
      </w:r>
    </w:p>
    <w:p w:rsidR="00F4367A" w:rsidRDefault="00F4367A">
      <w:pPr>
        <w:rPr>
          <w:rFonts w:cs="Arial"/>
        </w:rPr>
      </w:pPr>
    </w:p>
    <w:p w:rsidR="00F4367A" w:rsidRDefault="00F4367A" w:rsidP="001C379D">
      <w:pPr>
        <w:pStyle w:val="Heading1"/>
        <w:pBdr>
          <w:top w:val="single" w:sz="4" w:space="1" w:color="auto"/>
          <w:left w:val="single" w:sz="4" w:space="4" w:color="auto"/>
          <w:bottom w:val="single" w:sz="4" w:space="0" w:color="auto"/>
          <w:right w:val="single" w:sz="4" w:space="4" w:color="auto"/>
        </w:pBdr>
        <w:jc w:val="center"/>
        <w:rPr>
          <w:u w:val="single"/>
        </w:rPr>
      </w:pPr>
    </w:p>
    <w:p w:rsidR="00F4367A" w:rsidRDefault="00F4367A" w:rsidP="001C379D">
      <w:pPr>
        <w:pStyle w:val="Heading1"/>
        <w:pBdr>
          <w:top w:val="single" w:sz="4" w:space="1" w:color="auto"/>
          <w:left w:val="single" w:sz="4" w:space="4" w:color="auto"/>
          <w:bottom w:val="single" w:sz="4" w:space="0" w:color="auto"/>
          <w:right w:val="single" w:sz="4" w:space="4" w:color="auto"/>
        </w:pBdr>
        <w:jc w:val="center"/>
        <w:rPr>
          <w:u w:val="single"/>
        </w:rPr>
      </w:pPr>
      <w:r>
        <w:rPr>
          <w:u w:val="single"/>
        </w:rPr>
        <w:t>Summary and Recommendations</w:t>
      </w:r>
    </w:p>
    <w:p w:rsidR="00F4367A" w:rsidRDefault="00F4367A" w:rsidP="001C379D">
      <w:pPr>
        <w:pBdr>
          <w:top w:val="single" w:sz="4" w:space="1" w:color="auto"/>
          <w:left w:val="single" w:sz="4" w:space="4" w:color="auto"/>
          <w:bottom w:val="single" w:sz="4" w:space="0" w:color="auto"/>
          <w:right w:val="single" w:sz="4" w:space="4" w:color="auto"/>
        </w:pBdr>
        <w:rPr>
          <w:rFonts w:cs="Arial"/>
        </w:rPr>
      </w:pPr>
    </w:p>
    <w:p w:rsidR="00F4367A" w:rsidRDefault="00F4367A" w:rsidP="001C379D">
      <w:pPr>
        <w:pBdr>
          <w:top w:val="single" w:sz="4" w:space="1" w:color="auto"/>
          <w:left w:val="single" w:sz="4" w:space="4" w:color="auto"/>
          <w:bottom w:val="single" w:sz="4" w:space="0" w:color="auto"/>
          <w:right w:val="single" w:sz="4" w:space="4" w:color="auto"/>
        </w:pBdr>
        <w:rPr>
          <w:rFonts w:cs="Arial"/>
        </w:rPr>
      </w:pPr>
      <w:r>
        <w:rPr>
          <w:rFonts w:cs="Arial"/>
          <w:b/>
          <w:bCs/>
        </w:rPr>
        <w:t>Purpose of report</w:t>
      </w:r>
      <w:r>
        <w:rPr>
          <w:rFonts w:cs="Arial"/>
        </w:rPr>
        <w:t xml:space="preserve">:  </w:t>
      </w:r>
      <w:r w:rsidR="00AF2596">
        <w:rPr>
          <w:rFonts w:cs="Arial"/>
        </w:rPr>
        <w:t xml:space="preserve">To present for approval </w:t>
      </w:r>
      <w:r w:rsidR="00760D3E">
        <w:rPr>
          <w:rFonts w:cs="Arial"/>
        </w:rPr>
        <w:t>one</w:t>
      </w:r>
      <w:r w:rsidR="00AF2596">
        <w:rPr>
          <w:rFonts w:cs="Arial"/>
        </w:rPr>
        <w:t xml:space="preserve"> new</w:t>
      </w:r>
      <w:r w:rsidR="00C1167C">
        <w:rPr>
          <w:rFonts w:cs="Arial"/>
        </w:rPr>
        <w:t xml:space="preserve"> and </w:t>
      </w:r>
      <w:r w:rsidR="00760D3E">
        <w:rPr>
          <w:rFonts w:cs="Arial"/>
        </w:rPr>
        <w:t>two</w:t>
      </w:r>
      <w:r w:rsidR="00C1167C">
        <w:rPr>
          <w:rFonts w:cs="Arial"/>
        </w:rPr>
        <w:t xml:space="preserve"> revised</w:t>
      </w:r>
      <w:r w:rsidR="00025A8B">
        <w:rPr>
          <w:rFonts w:cs="Arial"/>
        </w:rPr>
        <w:t xml:space="preserve"> employment polic</w:t>
      </w:r>
      <w:r w:rsidR="00C1167C">
        <w:rPr>
          <w:rFonts w:cs="Arial"/>
        </w:rPr>
        <w:t>ies</w:t>
      </w:r>
    </w:p>
    <w:p w:rsidR="00F4367A" w:rsidRPr="00560541" w:rsidRDefault="00F4367A" w:rsidP="00560541">
      <w:pPr>
        <w:pBdr>
          <w:top w:val="single" w:sz="4" w:space="1" w:color="auto"/>
          <w:left w:val="single" w:sz="4" w:space="4" w:color="auto"/>
          <w:bottom w:val="single" w:sz="4" w:space="0"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F4367A" w:rsidP="001C379D">
      <w:pPr>
        <w:pBdr>
          <w:top w:val="single" w:sz="4" w:space="1" w:color="auto"/>
          <w:left w:val="single" w:sz="4" w:space="4" w:color="auto"/>
          <w:bottom w:val="single" w:sz="4" w:space="0" w:color="auto"/>
          <w:right w:val="single" w:sz="4" w:space="4" w:color="auto"/>
        </w:pBdr>
        <w:rPr>
          <w:rFonts w:cs="Arial"/>
          <w:bCs/>
        </w:rPr>
      </w:pPr>
      <w:r>
        <w:rPr>
          <w:rFonts w:cs="Arial"/>
          <w:b/>
          <w:bCs/>
        </w:rPr>
        <w:t xml:space="preserve">Policy Framework: </w:t>
      </w:r>
      <w:r w:rsidR="00AF2596" w:rsidRPr="00560541">
        <w:rPr>
          <w:rFonts w:cs="Arial"/>
          <w:bCs/>
        </w:rPr>
        <w:t>Corporate Plan Priority</w:t>
      </w:r>
      <w:r w:rsidR="00590AE7" w:rsidRPr="00560541">
        <w:rPr>
          <w:rFonts w:cs="Arial"/>
          <w:bCs/>
        </w:rPr>
        <w:t>:</w:t>
      </w:r>
      <w:r w:rsidR="00AF2596">
        <w:rPr>
          <w:rFonts w:cs="Arial"/>
          <w:b/>
          <w:bCs/>
        </w:rPr>
        <w:t xml:space="preserve"> ‘</w:t>
      </w:r>
      <w:r w:rsidR="00AF2596">
        <w:rPr>
          <w:rFonts w:cs="Arial"/>
          <w:bCs/>
        </w:rPr>
        <w:t>Effective and Efficient Council’</w:t>
      </w:r>
    </w:p>
    <w:p w:rsidR="00560541" w:rsidRPr="00AF2596" w:rsidRDefault="00560541" w:rsidP="001C379D">
      <w:pPr>
        <w:pBdr>
          <w:top w:val="single" w:sz="4" w:space="1" w:color="auto"/>
          <w:left w:val="single" w:sz="4" w:space="4" w:color="auto"/>
          <w:bottom w:val="single" w:sz="4" w:space="0" w:color="auto"/>
          <w:right w:val="single" w:sz="4" w:space="4" w:color="auto"/>
        </w:pBdr>
        <w:rPr>
          <w:rFonts w:cs="Arial"/>
          <w:bCs/>
        </w:rPr>
      </w:pPr>
    </w:p>
    <w:p w:rsidR="00F4367A" w:rsidRDefault="00F4367A" w:rsidP="001C379D">
      <w:pPr>
        <w:pStyle w:val="Heading1"/>
        <w:pBdr>
          <w:top w:val="single" w:sz="4" w:space="1" w:color="auto"/>
          <w:left w:val="single" w:sz="4" w:space="4" w:color="auto"/>
          <w:bottom w:val="single" w:sz="4" w:space="0" w:color="auto"/>
          <w:right w:val="single" w:sz="4" w:space="4" w:color="auto"/>
        </w:pBdr>
      </w:pPr>
    </w:p>
    <w:p w:rsidR="00025A8B" w:rsidRDefault="00760D3E" w:rsidP="001C379D">
      <w:pPr>
        <w:pBdr>
          <w:top w:val="single" w:sz="4" w:space="1" w:color="auto"/>
          <w:left w:val="single" w:sz="4" w:space="4" w:color="auto"/>
          <w:bottom w:val="single" w:sz="4" w:space="0" w:color="auto"/>
          <w:right w:val="single" w:sz="4" w:space="4" w:color="auto"/>
        </w:pBdr>
        <w:tabs>
          <w:tab w:val="left" w:pos="3048"/>
        </w:tabs>
        <w:rPr>
          <w:rFonts w:cs="Arial"/>
          <w:b/>
        </w:rPr>
      </w:pPr>
      <w:r>
        <w:rPr>
          <w:rFonts w:cs="Arial"/>
          <w:b/>
        </w:rPr>
        <w:t>Recommendations</w:t>
      </w:r>
      <w:r w:rsidR="00F4367A">
        <w:rPr>
          <w:rFonts w:cs="Arial"/>
          <w:b/>
        </w:rPr>
        <w:t>:</w:t>
      </w:r>
      <w:r>
        <w:rPr>
          <w:rFonts w:cs="Arial"/>
          <w:b/>
        </w:rPr>
        <w:t xml:space="preserve"> </w:t>
      </w:r>
      <w:r w:rsidRPr="00760D3E">
        <w:rPr>
          <w:rFonts w:cs="Arial"/>
        </w:rPr>
        <w:t>That Council</w:t>
      </w:r>
    </w:p>
    <w:p w:rsidR="00025A8B" w:rsidRDefault="00025A8B" w:rsidP="001C379D">
      <w:pPr>
        <w:pBdr>
          <w:top w:val="single" w:sz="4" w:space="1" w:color="auto"/>
          <w:left w:val="single" w:sz="4" w:space="4" w:color="auto"/>
          <w:bottom w:val="single" w:sz="4" w:space="0" w:color="auto"/>
          <w:right w:val="single" w:sz="4" w:space="4" w:color="auto"/>
        </w:pBdr>
        <w:tabs>
          <w:tab w:val="left" w:pos="3048"/>
        </w:tabs>
        <w:rPr>
          <w:rFonts w:cs="Arial"/>
          <w:b/>
        </w:rPr>
      </w:pPr>
    </w:p>
    <w:p w:rsidR="001C379D" w:rsidRDefault="001C379D" w:rsidP="001C379D">
      <w:pPr>
        <w:pBdr>
          <w:top w:val="single" w:sz="4" w:space="1" w:color="auto"/>
          <w:left w:val="single" w:sz="4" w:space="4" w:color="auto"/>
          <w:bottom w:val="single" w:sz="4" w:space="0" w:color="auto"/>
          <w:right w:val="single" w:sz="4" w:space="4" w:color="auto"/>
        </w:pBdr>
        <w:tabs>
          <w:tab w:val="left" w:pos="3048"/>
        </w:tabs>
        <w:rPr>
          <w:rFonts w:cs="Arial"/>
        </w:rPr>
      </w:pPr>
      <w:r>
        <w:rPr>
          <w:rFonts w:cs="Arial"/>
        </w:rPr>
        <w:t>1)</w:t>
      </w:r>
      <w:r w:rsidR="00B438B9">
        <w:rPr>
          <w:rFonts w:cs="Arial"/>
        </w:rPr>
        <w:t xml:space="preserve"> </w:t>
      </w:r>
      <w:r w:rsidR="00760D3E">
        <w:rPr>
          <w:rFonts w:cs="Arial"/>
        </w:rPr>
        <w:t>Approve</w:t>
      </w:r>
      <w:r w:rsidR="00025A8B" w:rsidRPr="00025A8B">
        <w:rPr>
          <w:rFonts w:cs="Arial"/>
        </w:rPr>
        <w:t xml:space="preserve"> the following policies with immediate effect:</w:t>
      </w:r>
    </w:p>
    <w:p w:rsidR="00025A8B" w:rsidRDefault="00F4367A" w:rsidP="001C379D">
      <w:pPr>
        <w:pBdr>
          <w:top w:val="single" w:sz="4" w:space="1" w:color="auto"/>
          <w:left w:val="single" w:sz="4" w:space="4" w:color="auto"/>
          <w:bottom w:val="single" w:sz="4" w:space="0" w:color="auto"/>
          <w:right w:val="single" w:sz="4" w:space="4" w:color="auto"/>
        </w:pBdr>
        <w:tabs>
          <w:tab w:val="left" w:pos="3048"/>
        </w:tabs>
        <w:rPr>
          <w:rFonts w:cs="Arial"/>
        </w:rPr>
      </w:pPr>
      <w:r w:rsidRPr="00025A8B">
        <w:rPr>
          <w:rFonts w:cs="Arial"/>
        </w:rPr>
        <w:t xml:space="preserve"> </w:t>
      </w:r>
    </w:p>
    <w:p w:rsidR="00EA3443" w:rsidRDefault="00760D3E" w:rsidP="001C379D">
      <w:pPr>
        <w:pBdr>
          <w:top w:val="single" w:sz="4" w:space="1" w:color="auto"/>
          <w:left w:val="single" w:sz="4" w:space="4" w:color="auto"/>
          <w:bottom w:val="single" w:sz="4" w:space="0" w:color="auto"/>
          <w:right w:val="single" w:sz="4" w:space="4" w:color="auto"/>
        </w:pBdr>
        <w:tabs>
          <w:tab w:val="left" w:pos="3048"/>
        </w:tabs>
        <w:rPr>
          <w:rFonts w:cs="Arial"/>
        </w:rPr>
      </w:pPr>
      <w:r>
        <w:rPr>
          <w:rFonts w:cs="Arial"/>
        </w:rPr>
        <w:t>*</w:t>
      </w:r>
      <w:r w:rsidR="00EA3443">
        <w:rPr>
          <w:rFonts w:cs="Arial"/>
        </w:rPr>
        <w:t>Policy and Procedure for Managing Allegations against Employees and Volunteers Working with Children and Vulnerable Adults</w:t>
      </w:r>
    </w:p>
    <w:p w:rsidR="00C1167C" w:rsidRDefault="00C1167C" w:rsidP="001C379D">
      <w:pPr>
        <w:pBdr>
          <w:top w:val="single" w:sz="4" w:space="1" w:color="auto"/>
          <w:left w:val="single" w:sz="4" w:space="4" w:color="auto"/>
          <w:bottom w:val="single" w:sz="4" w:space="0" w:color="auto"/>
          <w:right w:val="single" w:sz="4" w:space="4" w:color="auto"/>
        </w:pBdr>
        <w:tabs>
          <w:tab w:val="left" w:pos="3048"/>
        </w:tabs>
        <w:rPr>
          <w:rFonts w:cs="Arial"/>
        </w:rPr>
      </w:pPr>
    </w:p>
    <w:p w:rsidR="00B438B9" w:rsidRPr="00760D3E" w:rsidRDefault="00760D3E" w:rsidP="00760D3E">
      <w:pPr>
        <w:pBdr>
          <w:top w:val="single" w:sz="4" w:space="1" w:color="auto"/>
          <w:left w:val="single" w:sz="4" w:space="4" w:color="auto"/>
          <w:bottom w:val="single" w:sz="4" w:space="0" w:color="auto"/>
          <w:right w:val="single" w:sz="4" w:space="4" w:color="auto"/>
        </w:pBdr>
        <w:tabs>
          <w:tab w:val="left" w:pos="3048"/>
        </w:tabs>
        <w:rPr>
          <w:rFonts w:cs="Arial"/>
        </w:rPr>
      </w:pPr>
      <w:r w:rsidRPr="00760D3E">
        <w:rPr>
          <w:rFonts w:cs="Arial"/>
        </w:rPr>
        <w:t>*</w:t>
      </w:r>
      <w:r>
        <w:rPr>
          <w:rFonts w:cs="Arial"/>
        </w:rPr>
        <w:t xml:space="preserve"> </w:t>
      </w:r>
      <w:r w:rsidR="001C379D" w:rsidRPr="00760D3E">
        <w:rPr>
          <w:rFonts w:cs="Arial"/>
        </w:rPr>
        <w:t xml:space="preserve">Family Leave Policy and Procedure </w:t>
      </w:r>
    </w:p>
    <w:p w:rsidR="001C379D" w:rsidRDefault="001C379D" w:rsidP="001C379D">
      <w:pPr>
        <w:pBdr>
          <w:top w:val="single" w:sz="4" w:space="1" w:color="auto"/>
          <w:left w:val="single" w:sz="4" w:space="4" w:color="auto"/>
          <w:bottom w:val="single" w:sz="4" w:space="0" w:color="auto"/>
          <w:right w:val="single" w:sz="4" w:space="4" w:color="auto"/>
        </w:pBdr>
        <w:tabs>
          <w:tab w:val="left" w:pos="3048"/>
        </w:tabs>
        <w:rPr>
          <w:rFonts w:cs="Arial"/>
        </w:rPr>
      </w:pPr>
    </w:p>
    <w:p w:rsidR="00D214D9" w:rsidRDefault="001C379D" w:rsidP="001C379D">
      <w:pPr>
        <w:pBdr>
          <w:top w:val="single" w:sz="4" w:space="1" w:color="auto"/>
          <w:left w:val="single" w:sz="4" w:space="4" w:color="auto"/>
          <w:bottom w:val="single" w:sz="4" w:space="0" w:color="auto"/>
          <w:right w:val="single" w:sz="4" w:space="4" w:color="auto"/>
        </w:pBdr>
        <w:tabs>
          <w:tab w:val="left" w:pos="3048"/>
        </w:tabs>
        <w:rPr>
          <w:rFonts w:cs="Arial"/>
        </w:rPr>
      </w:pPr>
      <w:r>
        <w:rPr>
          <w:rFonts w:cs="Arial"/>
        </w:rPr>
        <w:t xml:space="preserve">2) </w:t>
      </w:r>
      <w:r w:rsidR="00760D3E">
        <w:rPr>
          <w:rFonts w:cs="Arial"/>
        </w:rPr>
        <w:t>Authorise</w:t>
      </w:r>
      <w:r>
        <w:rPr>
          <w:rFonts w:cs="Arial"/>
        </w:rPr>
        <w:t xml:space="preserve"> the Head of Human Resources to</w:t>
      </w:r>
      <w:r w:rsidR="00B438B9">
        <w:rPr>
          <w:rFonts w:cs="Arial"/>
        </w:rPr>
        <w:t xml:space="preserve"> amend the </w:t>
      </w:r>
      <w:r>
        <w:rPr>
          <w:rFonts w:cs="Arial"/>
        </w:rPr>
        <w:t xml:space="preserve">policies and procedures </w:t>
      </w:r>
      <w:r w:rsidR="00B438B9">
        <w:rPr>
          <w:rFonts w:cs="Arial"/>
        </w:rPr>
        <w:t>from time to time in order to correct any factual or legal errors</w:t>
      </w:r>
      <w:r>
        <w:rPr>
          <w:rFonts w:cs="Arial"/>
        </w:rPr>
        <w:t>.</w:t>
      </w:r>
    </w:p>
    <w:p w:rsidR="00D214D9" w:rsidRDefault="00D214D9" w:rsidP="001C379D">
      <w:pPr>
        <w:pBdr>
          <w:top w:val="single" w:sz="4" w:space="1" w:color="auto"/>
          <w:left w:val="single" w:sz="4" w:space="4" w:color="auto"/>
          <w:bottom w:val="single" w:sz="4" w:space="0" w:color="auto"/>
          <w:right w:val="single" w:sz="4" w:space="4" w:color="auto"/>
        </w:pBdr>
        <w:tabs>
          <w:tab w:val="left" w:pos="3048"/>
        </w:tabs>
        <w:rPr>
          <w:rFonts w:cs="Arial"/>
        </w:rPr>
      </w:pPr>
    </w:p>
    <w:p w:rsidR="00F4367A" w:rsidRPr="00025A8B" w:rsidRDefault="00D214D9" w:rsidP="001C379D">
      <w:pPr>
        <w:pBdr>
          <w:top w:val="single" w:sz="4" w:space="1" w:color="auto"/>
          <w:left w:val="single" w:sz="4" w:space="4" w:color="auto"/>
          <w:bottom w:val="single" w:sz="4" w:space="0" w:color="auto"/>
          <w:right w:val="single" w:sz="4" w:space="4" w:color="auto"/>
        </w:pBdr>
        <w:tabs>
          <w:tab w:val="left" w:pos="3048"/>
        </w:tabs>
        <w:rPr>
          <w:rFonts w:cs="Arial"/>
        </w:rPr>
      </w:pPr>
      <w:r>
        <w:rPr>
          <w:rFonts w:cs="Arial"/>
        </w:rPr>
        <w:t xml:space="preserve">3) </w:t>
      </w:r>
      <w:r w:rsidR="00760D3E">
        <w:rPr>
          <w:rFonts w:cs="Arial"/>
        </w:rPr>
        <w:t>Approve</w:t>
      </w:r>
      <w:r>
        <w:rPr>
          <w:rFonts w:cs="Arial"/>
        </w:rPr>
        <w:t xml:space="preserve"> the updated annual Pay Policy Statement </w:t>
      </w:r>
      <w:r w:rsidR="00760D3E">
        <w:rPr>
          <w:rFonts w:cs="Arial"/>
        </w:rPr>
        <w:t>f</w:t>
      </w:r>
      <w:r>
        <w:rPr>
          <w:rFonts w:cs="Arial"/>
        </w:rPr>
        <w:t>or publication</w:t>
      </w:r>
      <w:r w:rsidR="00F4367A" w:rsidRPr="00025A8B">
        <w:rPr>
          <w:rFonts w:cs="Arial"/>
        </w:rPr>
        <w:tab/>
      </w:r>
    </w:p>
    <w:p w:rsidR="00F4367A" w:rsidRDefault="00F4367A" w:rsidP="001C379D">
      <w:pPr>
        <w:pBdr>
          <w:top w:val="single" w:sz="4" w:space="1" w:color="auto"/>
          <w:left w:val="single" w:sz="4" w:space="4" w:color="auto"/>
          <w:bottom w:val="single" w:sz="4" w:space="0" w:color="auto"/>
          <w:right w:val="single" w:sz="4" w:space="4" w:color="auto"/>
        </w:pBdr>
        <w:tabs>
          <w:tab w:val="left" w:pos="3048"/>
        </w:tabs>
        <w:rPr>
          <w:rFonts w:cs="Arial"/>
          <w:b/>
        </w:rPr>
      </w:pPr>
    </w:p>
    <w:p w:rsidR="00F4367A" w:rsidRDefault="00F4367A">
      <w:pPr>
        <w:rPr>
          <w:rFonts w:cs="Arial"/>
        </w:rPr>
      </w:pPr>
    </w:p>
    <w:p w:rsidR="00713675" w:rsidRDefault="00713675">
      <w:pPr>
        <w:rPr>
          <w:rFonts w:cs="Arial"/>
        </w:rPr>
      </w:pPr>
      <w:r w:rsidRPr="007B6E54">
        <w:rPr>
          <w:rFonts w:cs="Arial"/>
          <w:b/>
        </w:rPr>
        <w:t>Appendices</w:t>
      </w:r>
      <w:r>
        <w:rPr>
          <w:rFonts w:cs="Arial"/>
        </w:rPr>
        <w:t xml:space="preserve"> </w:t>
      </w:r>
    </w:p>
    <w:p w:rsidR="00B438B9" w:rsidRDefault="00B438B9">
      <w:pPr>
        <w:rPr>
          <w:rFonts w:cs="Arial"/>
        </w:rPr>
      </w:pPr>
    </w:p>
    <w:p w:rsidR="00B438B9" w:rsidRPr="00B438B9" w:rsidRDefault="00B438B9" w:rsidP="00B438B9">
      <w:pPr>
        <w:autoSpaceDE w:val="0"/>
        <w:autoSpaceDN w:val="0"/>
        <w:adjustRightInd w:val="0"/>
        <w:rPr>
          <w:rFonts w:cs="Arial"/>
          <w:color w:val="000000"/>
        </w:rPr>
      </w:pPr>
      <w:r>
        <w:rPr>
          <w:rFonts w:cs="Arial"/>
          <w:color w:val="000000"/>
        </w:rPr>
        <w:t xml:space="preserve">Appendix 1 - </w:t>
      </w:r>
      <w:r w:rsidRPr="00B438B9">
        <w:rPr>
          <w:rFonts w:cs="Arial"/>
          <w:color w:val="000000"/>
        </w:rPr>
        <w:t>Policy and Procedure for Managing Allegations against Employees and Volunteers Working with Children and Vulnerable Adults</w:t>
      </w:r>
    </w:p>
    <w:p w:rsidR="00B438B9" w:rsidRDefault="00B438B9" w:rsidP="00B438B9">
      <w:pPr>
        <w:autoSpaceDE w:val="0"/>
        <w:autoSpaceDN w:val="0"/>
        <w:adjustRightInd w:val="0"/>
        <w:rPr>
          <w:rFonts w:cs="Arial"/>
          <w:color w:val="000000"/>
        </w:rPr>
      </w:pPr>
      <w:r>
        <w:rPr>
          <w:rFonts w:cs="Arial"/>
          <w:color w:val="000000"/>
        </w:rPr>
        <w:t xml:space="preserve">Appendix </w:t>
      </w:r>
      <w:r w:rsidR="00C1167C">
        <w:rPr>
          <w:rFonts w:cs="Arial"/>
          <w:color w:val="000000"/>
        </w:rPr>
        <w:t>2</w:t>
      </w:r>
      <w:r>
        <w:rPr>
          <w:rFonts w:cs="Arial"/>
          <w:color w:val="000000"/>
        </w:rPr>
        <w:t xml:space="preserve"> - </w:t>
      </w:r>
      <w:r w:rsidRPr="00B438B9">
        <w:rPr>
          <w:rFonts w:cs="Arial"/>
          <w:color w:val="000000"/>
        </w:rPr>
        <w:t>Family Leave Policy and Procedure</w:t>
      </w:r>
    </w:p>
    <w:p w:rsidR="00414B21" w:rsidRPr="00B438B9" w:rsidRDefault="00414B21" w:rsidP="00B438B9">
      <w:pPr>
        <w:autoSpaceDE w:val="0"/>
        <w:autoSpaceDN w:val="0"/>
        <w:adjustRightInd w:val="0"/>
        <w:rPr>
          <w:rFonts w:cs="Arial"/>
        </w:rPr>
      </w:pPr>
      <w:r>
        <w:rPr>
          <w:rFonts w:cs="Arial"/>
          <w:color w:val="000000"/>
        </w:rPr>
        <w:t xml:space="preserve">Appendix </w:t>
      </w:r>
      <w:r w:rsidR="00C1167C">
        <w:rPr>
          <w:rFonts w:cs="Arial"/>
          <w:color w:val="000000"/>
        </w:rPr>
        <w:t>3</w:t>
      </w:r>
      <w:r>
        <w:rPr>
          <w:rFonts w:cs="Arial"/>
          <w:color w:val="000000"/>
        </w:rPr>
        <w:t xml:space="preserve"> – Annual Pay Policy Statement</w:t>
      </w:r>
    </w:p>
    <w:p w:rsidR="00713675" w:rsidRDefault="007B6E54">
      <w:pPr>
        <w:rPr>
          <w:rFonts w:cs="Arial"/>
        </w:rPr>
      </w:pPr>
      <w:r>
        <w:rPr>
          <w:rFonts w:cs="Arial"/>
        </w:rPr>
        <w:t xml:space="preserve">Appendix </w:t>
      </w:r>
      <w:r w:rsidR="00C1167C">
        <w:rPr>
          <w:rFonts w:cs="Arial"/>
        </w:rPr>
        <w:t>4</w:t>
      </w:r>
      <w:r w:rsidR="00414B21">
        <w:rPr>
          <w:rFonts w:cs="Arial"/>
        </w:rPr>
        <w:t xml:space="preserve"> -</w:t>
      </w:r>
      <w:r>
        <w:rPr>
          <w:rFonts w:cs="Arial"/>
        </w:rPr>
        <w:t xml:space="preserve"> Risk Register</w:t>
      </w:r>
    </w:p>
    <w:p w:rsidR="007B6E54" w:rsidRDefault="007B6E54">
      <w:pPr>
        <w:rPr>
          <w:rFonts w:cs="Arial"/>
        </w:rPr>
      </w:pPr>
      <w:r>
        <w:rPr>
          <w:rFonts w:cs="Arial"/>
        </w:rPr>
        <w:t xml:space="preserve">Appendix </w:t>
      </w:r>
      <w:r w:rsidR="00C1167C">
        <w:rPr>
          <w:rFonts w:cs="Arial"/>
        </w:rPr>
        <w:t>5</w:t>
      </w:r>
      <w:r w:rsidR="00414B21">
        <w:rPr>
          <w:rFonts w:cs="Arial"/>
        </w:rPr>
        <w:t xml:space="preserve"> -</w:t>
      </w:r>
      <w:r>
        <w:rPr>
          <w:rFonts w:cs="Arial"/>
        </w:rPr>
        <w:t xml:space="preserve"> Equalities Impact Assessment</w:t>
      </w:r>
    </w:p>
    <w:p w:rsidR="007B6E54" w:rsidRDefault="007B6E54">
      <w:pPr>
        <w:rPr>
          <w:rFonts w:cs="Arial"/>
          <w:i/>
        </w:rPr>
      </w:pPr>
    </w:p>
    <w:p w:rsidR="00560541" w:rsidRDefault="00560541" w:rsidP="00252B61">
      <w:pPr>
        <w:rPr>
          <w:rFonts w:cs="Arial"/>
          <w:b/>
        </w:rPr>
      </w:pPr>
    </w:p>
    <w:p w:rsidR="00560541" w:rsidRDefault="00560541" w:rsidP="00252B61">
      <w:pPr>
        <w:rPr>
          <w:rFonts w:cs="Arial"/>
          <w:b/>
        </w:rPr>
      </w:pPr>
    </w:p>
    <w:p w:rsidR="00252B61" w:rsidRPr="00252B61" w:rsidRDefault="00252B61" w:rsidP="00252B61">
      <w:pPr>
        <w:rPr>
          <w:rFonts w:cs="Arial"/>
          <w:b/>
        </w:rPr>
      </w:pPr>
      <w:r w:rsidRPr="00252B61">
        <w:rPr>
          <w:rFonts w:cs="Arial"/>
          <w:b/>
        </w:rPr>
        <w:lastRenderedPageBreak/>
        <w:t>Background</w:t>
      </w:r>
    </w:p>
    <w:p w:rsidR="00252B61" w:rsidRDefault="00252B61" w:rsidP="00252B61">
      <w:pPr>
        <w:rPr>
          <w:rFonts w:cs="Arial"/>
          <w:i/>
        </w:rPr>
      </w:pPr>
    </w:p>
    <w:p w:rsidR="009E6298" w:rsidRDefault="00252B61" w:rsidP="009E6298">
      <w:pPr>
        <w:pStyle w:val="ListParagraph"/>
        <w:numPr>
          <w:ilvl w:val="0"/>
          <w:numId w:val="5"/>
        </w:numPr>
      </w:pPr>
      <w:r w:rsidRPr="009E6298">
        <w:rPr>
          <w:rFonts w:cs="Arial"/>
          <w:b/>
        </w:rPr>
        <w:t>Policy and Procedure for Managing Allegations against Employees and Volunteers Working with Children and Vulnerable Adults:</w:t>
      </w:r>
      <w:r w:rsidRPr="009E6298">
        <w:rPr>
          <w:rFonts w:cs="Arial"/>
        </w:rPr>
        <w:t xml:space="preserve"> </w:t>
      </w:r>
      <w:r w:rsidR="009E6298">
        <w:t>This is a new Policy and Procedure which has been developed as a result of the Safeguarding Audit which identified the need to ensure staff and volunteers are aware that they have a duty to raise matters of concern and that those who have an allegation raised against them know how it will be managed. The policy is intended to recognise that such allegations need to be dealt with sensitively and that external investigations may</w:t>
      </w:r>
      <w:r w:rsidR="00F41A26">
        <w:t xml:space="preserve"> be</w:t>
      </w:r>
      <w:r w:rsidR="009E6298">
        <w:t xml:space="preserve"> necessary and will usually precede any internal investigation.  Employees who are subject to such allegations, which could be made for a number of reasons, are likely to find the situation stressful and upsetting. Where appropriate the Council will endeavour to offer support for employees during the process</w:t>
      </w:r>
      <w:r w:rsidR="00F41A26">
        <w:t>.  However,</w:t>
      </w:r>
      <w:r w:rsidR="009E6298">
        <w:t xml:space="preserve"> substantiated allegations will be dealt with as a disciplinary offence.</w:t>
      </w:r>
      <w:r w:rsidR="00EE6C01">
        <w:t xml:space="preserve"> </w:t>
      </w:r>
    </w:p>
    <w:p w:rsidR="009E6298" w:rsidRDefault="009E6298" w:rsidP="009E6298">
      <w:pPr>
        <w:pStyle w:val="ListParagraph"/>
      </w:pPr>
    </w:p>
    <w:p w:rsidR="00414B21" w:rsidRDefault="00D50F81" w:rsidP="00414B21">
      <w:pPr>
        <w:pStyle w:val="ListParagraph"/>
        <w:numPr>
          <w:ilvl w:val="0"/>
          <w:numId w:val="5"/>
        </w:numPr>
      </w:pPr>
      <w:r w:rsidRPr="00763543">
        <w:rPr>
          <w:b/>
        </w:rPr>
        <w:t>Family Leave Policy and Procedure:</w:t>
      </w:r>
      <w:r w:rsidRPr="00D50F81">
        <w:t xml:space="preserve"> </w:t>
      </w:r>
      <w:r>
        <w:t xml:space="preserve">This is a revision of existing policies and procedures to reflect the changes introduced by the Children and Families Act 2014.  The current Maternity, Adoption and Paternity Policies and Procedures have all been combined into this one document. The new Shared Parental Leave provisions are also included.  </w:t>
      </w:r>
      <w:r w:rsidR="00414B21">
        <w:t>The changes are summarised below:</w:t>
      </w:r>
    </w:p>
    <w:p w:rsidR="00414B21" w:rsidRDefault="00414B21" w:rsidP="00414B21">
      <w:pPr>
        <w:pStyle w:val="ListParagraph"/>
      </w:pPr>
    </w:p>
    <w:tbl>
      <w:tblPr>
        <w:tblStyle w:val="TableGrid"/>
        <w:tblW w:w="8931" w:type="dxa"/>
        <w:tblInd w:w="108" w:type="dxa"/>
        <w:tblLook w:val="04A0" w:firstRow="1" w:lastRow="0" w:firstColumn="1" w:lastColumn="0" w:noHBand="0" w:noVBand="1"/>
      </w:tblPr>
      <w:tblGrid>
        <w:gridCol w:w="1310"/>
        <w:gridCol w:w="7621"/>
      </w:tblGrid>
      <w:tr w:rsidR="00414B21" w:rsidTr="00590AE7">
        <w:tc>
          <w:tcPr>
            <w:tcW w:w="1310" w:type="dxa"/>
          </w:tcPr>
          <w:p w:rsidR="00414B21" w:rsidRDefault="00414B21" w:rsidP="002B5555">
            <w:pPr>
              <w:pStyle w:val="ListParagraph"/>
              <w:ind w:left="0"/>
            </w:pPr>
            <w:r>
              <w:t>Maternity</w:t>
            </w:r>
          </w:p>
        </w:tc>
        <w:tc>
          <w:tcPr>
            <w:tcW w:w="7621" w:type="dxa"/>
          </w:tcPr>
          <w:p w:rsidR="00414B21" w:rsidRDefault="00414B21" w:rsidP="002B5555">
            <w:pPr>
              <w:pStyle w:val="ListParagraph"/>
              <w:ind w:left="0"/>
            </w:pPr>
            <w:r>
              <w:t>No changes to Statutory or Nationally Agreed Schemes</w:t>
            </w:r>
          </w:p>
        </w:tc>
      </w:tr>
      <w:tr w:rsidR="00414B21" w:rsidTr="00590AE7">
        <w:tc>
          <w:tcPr>
            <w:tcW w:w="1310" w:type="dxa"/>
          </w:tcPr>
          <w:p w:rsidR="00414B21" w:rsidRDefault="00414B21" w:rsidP="002B5555">
            <w:pPr>
              <w:pStyle w:val="ListParagraph"/>
              <w:ind w:left="0"/>
            </w:pPr>
            <w:r>
              <w:t>Adoption</w:t>
            </w:r>
          </w:p>
        </w:tc>
        <w:tc>
          <w:tcPr>
            <w:tcW w:w="7621" w:type="dxa"/>
          </w:tcPr>
          <w:p w:rsidR="00414B21" w:rsidRDefault="00414B21" w:rsidP="002B5555">
            <w:pPr>
              <w:pStyle w:val="ListParagraph"/>
              <w:numPr>
                <w:ilvl w:val="0"/>
                <w:numId w:val="6"/>
              </w:numPr>
              <w:ind w:left="317" w:hanging="283"/>
            </w:pPr>
            <w:r>
              <w:t>Extended to cover ‘Foster to Adopt’ and surrogacy arrangements</w:t>
            </w:r>
          </w:p>
          <w:p w:rsidR="00414B21" w:rsidRDefault="00414B21" w:rsidP="002B5555">
            <w:pPr>
              <w:pStyle w:val="ListParagraph"/>
              <w:numPr>
                <w:ilvl w:val="0"/>
                <w:numId w:val="6"/>
              </w:numPr>
              <w:ind w:left="317" w:hanging="283"/>
            </w:pPr>
            <w:r>
              <w:t>Statutory leave and pay entitlements aligned with Maternity Leave</w:t>
            </w:r>
          </w:p>
          <w:p w:rsidR="00414B21" w:rsidRDefault="00414B21" w:rsidP="00FE5756">
            <w:pPr>
              <w:pStyle w:val="ListParagraph"/>
              <w:numPr>
                <w:ilvl w:val="0"/>
                <w:numId w:val="6"/>
              </w:numPr>
              <w:ind w:left="317" w:hanging="283"/>
            </w:pPr>
            <w:r>
              <w:t>Propos</w:t>
            </w:r>
            <w:r w:rsidR="0039011B">
              <w:t>al</w:t>
            </w:r>
            <w:r>
              <w:t xml:space="preserve"> to extend Nationally Agreed Provision for Maternity Pay to Adoption as a local provision</w:t>
            </w:r>
          </w:p>
        </w:tc>
      </w:tr>
      <w:tr w:rsidR="00414B21" w:rsidTr="00590AE7">
        <w:tc>
          <w:tcPr>
            <w:tcW w:w="1310" w:type="dxa"/>
          </w:tcPr>
          <w:p w:rsidR="00414B21" w:rsidRDefault="00414B21" w:rsidP="002B5555">
            <w:pPr>
              <w:pStyle w:val="ListParagraph"/>
              <w:ind w:left="0"/>
            </w:pPr>
            <w:r>
              <w:t>Paternity</w:t>
            </w:r>
          </w:p>
        </w:tc>
        <w:tc>
          <w:tcPr>
            <w:tcW w:w="7621" w:type="dxa"/>
          </w:tcPr>
          <w:p w:rsidR="00414B21" w:rsidRDefault="00414B21" w:rsidP="002B5555">
            <w:pPr>
              <w:pStyle w:val="ListParagraph"/>
              <w:numPr>
                <w:ilvl w:val="0"/>
                <w:numId w:val="7"/>
              </w:numPr>
              <w:ind w:left="317" w:hanging="283"/>
            </w:pPr>
            <w:r>
              <w:t>No changes to Statutory scheme for ordinary paternity leave and pay</w:t>
            </w:r>
          </w:p>
          <w:p w:rsidR="00414B21" w:rsidRDefault="00414B21" w:rsidP="002B5555">
            <w:pPr>
              <w:pStyle w:val="ListParagraph"/>
              <w:numPr>
                <w:ilvl w:val="0"/>
                <w:numId w:val="7"/>
              </w:numPr>
              <w:ind w:left="317" w:hanging="283"/>
            </w:pPr>
            <w:r>
              <w:t>Propos</w:t>
            </w:r>
            <w:r w:rsidR="0039011B">
              <w:t>al</w:t>
            </w:r>
            <w:r>
              <w:t xml:space="preserve"> to amend local provision to remove a day’s leave for the day of the birth (if a working day) </w:t>
            </w:r>
          </w:p>
          <w:p w:rsidR="00414B21" w:rsidRDefault="00414B21" w:rsidP="002B5555">
            <w:pPr>
              <w:pStyle w:val="ListParagraph"/>
              <w:numPr>
                <w:ilvl w:val="0"/>
                <w:numId w:val="7"/>
              </w:numPr>
              <w:ind w:left="317" w:hanging="283"/>
            </w:pPr>
            <w:r>
              <w:t>No change to local provision for 3 weeks paid leave</w:t>
            </w:r>
          </w:p>
          <w:p w:rsidR="00414B21" w:rsidRDefault="00414B21" w:rsidP="002B5555">
            <w:pPr>
              <w:pStyle w:val="ListParagraph"/>
              <w:numPr>
                <w:ilvl w:val="0"/>
                <w:numId w:val="7"/>
              </w:numPr>
              <w:ind w:left="317" w:hanging="283"/>
            </w:pPr>
            <w:r>
              <w:t>Statutory scheme for Additional Paternity Leave abolished and replaced by Shared Parental Leave</w:t>
            </w:r>
          </w:p>
        </w:tc>
      </w:tr>
      <w:tr w:rsidR="00414B21" w:rsidTr="00590AE7">
        <w:tc>
          <w:tcPr>
            <w:tcW w:w="1310" w:type="dxa"/>
          </w:tcPr>
          <w:p w:rsidR="00414B21" w:rsidRDefault="00414B21" w:rsidP="002B5555">
            <w:pPr>
              <w:pStyle w:val="ListParagraph"/>
              <w:ind w:left="0"/>
            </w:pPr>
            <w:r>
              <w:t>Shared Parental Leave</w:t>
            </w:r>
          </w:p>
        </w:tc>
        <w:tc>
          <w:tcPr>
            <w:tcW w:w="7621" w:type="dxa"/>
          </w:tcPr>
          <w:p w:rsidR="00414B21" w:rsidRDefault="00414B21" w:rsidP="002B5555">
            <w:pPr>
              <w:pStyle w:val="ListParagraph"/>
              <w:numPr>
                <w:ilvl w:val="0"/>
                <w:numId w:val="8"/>
              </w:numPr>
              <w:ind w:left="322" w:hanging="280"/>
            </w:pPr>
            <w:r>
              <w:t xml:space="preserve">This is a new statutory provision which has been incorporated into the Policy and Procedure.  </w:t>
            </w:r>
          </w:p>
          <w:p w:rsidR="00414B21" w:rsidRDefault="00414B21" w:rsidP="002B5555">
            <w:pPr>
              <w:pStyle w:val="ListParagraph"/>
              <w:numPr>
                <w:ilvl w:val="0"/>
                <w:numId w:val="8"/>
              </w:numPr>
              <w:ind w:left="322" w:hanging="280"/>
            </w:pPr>
            <w:r>
              <w:t xml:space="preserve">It allows both carers to convert remaining Maternity or Adoption leave to Shared Parental Leave so they can share it between them, subject to them both meeting eligibility criteria. </w:t>
            </w:r>
          </w:p>
          <w:p w:rsidR="00414B21" w:rsidRDefault="00414B21" w:rsidP="002B5555">
            <w:pPr>
              <w:pStyle w:val="ListParagraph"/>
              <w:numPr>
                <w:ilvl w:val="0"/>
                <w:numId w:val="8"/>
              </w:numPr>
              <w:ind w:left="322" w:hanging="280"/>
            </w:pPr>
            <w:r>
              <w:t>It provides flexibility in how the leave can be taken e.g. both carers can take the leave at the same time or they can request discontinuous blocks of leave.</w:t>
            </w:r>
          </w:p>
        </w:tc>
      </w:tr>
    </w:tbl>
    <w:p w:rsidR="00414B21" w:rsidRDefault="00414B21" w:rsidP="00414B21">
      <w:pPr>
        <w:pStyle w:val="ListParagraph"/>
      </w:pPr>
    </w:p>
    <w:p w:rsidR="00414B21" w:rsidRPr="00FE5756" w:rsidRDefault="00414B21" w:rsidP="00590AE7">
      <w:pPr>
        <w:pStyle w:val="ListParagraph"/>
        <w:numPr>
          <w:ilvl w:val="0"/>
          <w:numId w:val="5"/>
        </w:numPr>
      </w:pPr>
      <w:r w:rsidRPr="00414B21">
        <w:rPr>
          <w:b/>
        </w:rPr>
        <w:t xml:space="preserve">Annual Pay Policy Statement: </w:t>
      </w:r>
      <w:r w:rsidRPr="00B45086">
        <w:t xml:space="preserve">As reported each year, the Council is </w:t>
      </w:r>
      <w:r w:rsidRPr="00FE5756">
        <w:t xml:space="preserve">required under the Localism Act 2011 to prepare, approve and publish a pay policy statement. </w:t>
      </w:r>
      <w:r w:rsidR="0013599B" w:rsidRPr="00FE5756">
        <w:t xml:space="preserve">For the first time this year it includes </w:t>
      </w:r>
      <w:r w:rsidR="002C3539" w:rsidRPr="00FE5756">
        <w:t xml:space="preserve">a calculation for </w:t>
      </w:r>
      <w:r w:rsidR="0013599B" w:rsidRPr="00FE5756">
        <w:t>the gender pay gap</w:t>
      </w:r>
      <w:r w:rsidR="002C3539" w:rsidRPr="00FE5756">
        <w:t>.</w:t>
      </w:r>
    </w:p>
    <w:p w:rsidR="00D50F81" w:rsidRDefault="00D50F81" w:rsidP="00D50F81">
      <w:pPr>
        <w:pStyle w:val="ListParagraph"/>
      </w:pPr>
    </w:p>
    <w:p w:rsidR="00560541" w:rsidRDefault="00560541" w:rsidP="00EE6C01">
      <w:pPr>
        <w:rPr>
          <w:b/>
        </w:rPr>
      </w:pPr>
    </w:p>
    <w:p w:rsidR="00EE6C01" w:rsidRDefault="00EE6C01" w:rsidP="00EE6C01">
      <w:pPr>
        <w:rPr>
          <w:b/>
        </w:rPr>
      </w:pPr>
      <w:bookmarkStart w:id="0" w:name="_GoBack"/>
      <w:bookmarkEnd w:id="0"/>
      <w:r w:rsidRPr="00EE6C01">
        <w:rPr>
          <w:b/>
        </w:rPr>
        <w:lastRenderedPageBreak/>
        <w:t>Consultation with Trade Unions</w:t>
      </w:r>
    </w:p>
    <w:p w:rsidR="00EE6C01" w:rsidRDefault="00EE6C01" w:rsidP="00EE6C01">
      <w:pPr>
        <w:rPr>
          <w:b/>
        </w:rPr>
      </w:pPr>
    </w:p>
    <w:p w:rsidR="00EE6C01" w:rsidRPr="00EE6C01" w:rsidRDefault="00EE6C01" w:rsidP="00EE6C01">
      <w:pPr>
        <w:pStyle w:val="ListParagraph"/>
        <w:numPr>
          <w:ilvl w:val="0"/>
          <w:numId w:val="5"/>
        </w:numPr>
      </w:pPr>
      <w:r>
        <w:t xml:space="preserve">All of the policies have been through consultation and negotiation with both trade unions and are agreed subject to ratification by their respective branch committees. </w:t>
      </w:r>
    </w:p>
    <w:p w:rsidR="00EE6C01" w:rsidRDefault="00EE6C01" w:rsidP="00EE6C01"/>
    <w:p w:rsidR="007B6E54" w:rsidRDefault="007B6E54">
      <w:pPr>
        <w:rPr>
          <w:rFonts w:cs="Arial"/>
          <w:b/>
        </w:rPr>
      </w:pPr>
      <w:r w:rsidRPr="007B6E54">
        <w:rPr>
          <w:rFonts w:cs="Arial"/>
          <w:b/>
        </w:rPr>
        <w:t>Legal Issues</w:t>
      </w:r>
    </w:p>
    <w:p w:rsidR="00414B21" w:rsidRDefault="00414B21">
      <w:pPr>
        <w:rPr>
          <w:rFonts w:cs="Arial"/>
          <w:b/>
        </w:rPr>
      </w:pPr>
    </w:p>
    <w:p w:rsidR="00CB70A5" w:rsidRDefault="00CB70A5" w:rsidP="009E6298">
      <w:pPr>
        <w:pStyle w:val="ListParagraph"/>
        <w:numPr>
          <w:ilvl w:val="0"/>
          <w:numId w:val="5"/>
        </w:numPr>
        <w:rPr>
          <w:rFonts w:cs="Arial"/>
        </w:rPr>
      </w:pPr>
      <w:r w:rsidRPr="00252B61">
        <w:rPr>
          <w:rFonts w:cs="Arial"/>
        </w:rPr>
        <w:t xml:space="preserve">Employment policies form part of the Council’s terms and conditions of employment for all employees, requiring employees to adhere to their contents.  Managers are required to ensure consistent, fair and equitable application of these policies </w:t>
      </w:r>
      <w:r w:rsidR="007F2BB6" w:rsidRPr="00252B61">
        <w:rPr>
          <w:rFonts w:cs="Arial"/>
        </w:rPr>
        <w:t>to meet employment law requirements and good practice.</w:t>
      </w:r>
    </w:p>
    <w:p w:rsidR="00964323" w:rsidRPr="00252B61" w:rsidRDefault="00964323" w:rsidP="00964323">
      <w:pPr>
        <w:pStyle w:val="ListParagraph"/>
        <w:rPr>
          <w:rFonts w:cs="Arial"/>
        </w:rPr>
      </w:pPr>
    </w:p>
    <w:p w:rsidR="00B438B9" w:rsidRDefault="007B6E54">
      <w:pPr>
        <w:rPr>
          <w:rFonts w:cs="Arial"/>
          <w:b/>
        </w:rPr>
      </w:pPr>
      <w:r w:rsidRPr="007B6E54">
        <w:rPr>
          <w:rFonts w:cs="Arial"/>
          <w:b/>
        </w:rPr>
        <w:t>Financial Issues</w:t>
      </w:r>
    </w:p>
    <w:p w:rsidR="00414B21" w:rsidRDefault="00414B21">
      <w:pPr>
        <w:rPr>
          <w:rFonts w:cs="Arial"/>
          <w:b/>
        </w:rPr>
      </w:pPr>
    </w:p>
    <w:p w:rsidR="00B438B9" w:rsidRPr="00252B61" w:rsidRDefault="00B438B9" w:rsidP="009E6298">
      <w:pPr>
        <w:pStyle w:val="ListParagraph"/>
        <w:numPr>
          <w:ilvl w:val="0"/>
          <w:numId w:val="5"/>
        </w:numPr>
        <w:rPr>
          <w:rFonts w:cs="Arial"/>
        </w:rPr>
      </w:pPr>
      <w:r w:rsidRPr="00252B61">
        <w:rPr>
          <w:rFonts w:cs="Arial"/>
        </w:rPr>
        <w:t>By having clear and legally compliant policies the risk of any financial compensation is minimised.</w:t>
      </w:r>
    </w:p>
    <w:p w:rsidR="00CB70A5" w:rsidRDefault="00CB70A5">
      <w:pPr>
        <w:rPr>
          <w:rFonts w:cs="Arial"/>
        </w:rPr>
      </w:pPr>
    </w:p>
    <w:p w:rsidR="00CB70A5" w:rsidRPr="00252B61" w:rsidRDefault="00CB70A5" w:rsidP="009E6298">
      <w:pPr>
        <w:pStyle w:val="ListParagraph"/>
        <w:numPr>
          <w:ilvl w:val="0"/>
          <w:numId w:val="5"/>
        </w:numPr>
        <w:rPr>
          <w:rFonts w:cs="Arial"/>
        </w:rPr>
      </w:pPr>
      <w:r w:rsidRPr="00252B61">
        <w:rPr>
          <w:rFonts w:cs="Arial"/>
        </w:rPr>
        <w:t>The Family Leave Policy includes the addition of a locally agreed pay scheme equivalent to the Nationally Agreed Maternity provision.  The number of adoption cases is very small so the additional cost is insignificant particularly when compared with the risk of not aligning payments.</w:t>
      </w:r>
    </w:p>
    <w:p w:rsidR="007B6E54" w:rsidRDefault="007B6E54">
      <w:pPr>
        <w:rPr>
          <w:rFonts w:cs="Arial"/>
          <w:b/>
        </w:rPr>
      </w:pPr>
    </w:p>
    <w:p w:rsidR="007B6E54" w:rsidRDefault="007B6E54">
      <w:pPr>
        <w:rPr>
          <w:rFonts w:cs="Arial"/>
          <w:b/>
        </w:rPr>
      </w:pPr>
      <w:r>
        <w:rPr>
          <w:rFonts w:cs="Arial"/>
          <w:b/>
        </w:rPr>
        <w:t>Environmental Impact</w:t>
      </w:r>
    </w:p>
    <w:p w:rsidR="00414B21" w:rsidRDefault="00414B21">
      <w:pPr>
        <w:rPr>
          <w:rFonts w:cs="Arial"/>
          <w:b/>
        </w:rPr>
      </w:pPr>
    </w:p>
    <w:p w:rsidR="00B438B9" w:rsidRPr="00252B61" w:rsidRDefault="00B438B9" w:rsidP="009E6298">
      <w:pPr>
        <w:pStyle w:val="ListParagraph"/>
        <w:numPr>
          <w:ilvl w:val="0"/>
          <w:numId w:val="5"/>
        </w:numPr>
        <w:rPr>
          <w:rFonts w:cs="Arial"/>
        </w:rPr>
      </w:pPr>
      <w:r w:rsidRPr="00252B61">
        <w:rPr>
          <w:rFonts w:cs="Arial"/>
        </w:rPr>
        <w:t>There are no environmental impacts</w:t>
      </w:r>
      <w:r w:rsidR="00252B61" w:rsidRPr="00252B61">
        <w:rPr>
          <w:rFonts w:cs="Arial"/>
        </w:rPr>
        <w:t>.</w:t>
      </w:r>
    </w:p>
    <w:p w:rsidR="00EE6C01" w:rsidRDefault="00EE6C01">
      <w:pPr>
        <w:rPr>
          <w:rFonts w:cs="Arial"/>
          <w:b/>
        </w:rPr>
      </w:pPr>
    </w:p>
    <w:p w:rsidR="00CB70A5" w:rsidRDefault="007B6E54">
      <w:pPr>
        <w:rPr>
          <w:rFonts w:cs="Arial"/>
          <w:b/>
        </w:rPr>
      </w:pPr>
      <w:r>
        <w:rPr>
          <w:rFonts w:cs="Arial"/>
          <w:b/>
        </w:rPr>
        <w:t xml:space="preserve">Level of Risk </w:t>
      </w:r>
    </w:p>
    <w:p w:rsidR="00414B21" w:rsidRDefault="00414B21">
      <w:pPr>
        <w:rPr>
          <w:rFonts w:cs="Arial"/>
          <w:b/>
        </w:rPr>
      </w:pPr>
    </w:p>
    <w:p w:rsidR="007B6E54" w:rsidRPr="00252B61" w:rsidRDefault="00CB70A5" w:rsidP="009E6298">
      <w:pPr>
        <w:pStyle w:val="ListParagraph"/>
        <w:numPr>
          <w:ilvl w:val="0"/>
          <w:numId w:val="5"/>
        </w:numPr>
        <w:rPr>
          <w:rFonts w:cs="Arial"/>
        </w:rPr>
      </w:pPr>
      <w:r w:rsidRPr="00252B61">
        <w:rPr>
          <w:rFonts w:cs="Arial"/>
        </w:rPr>
        <w:t>These policies will ensure that the Council complies with its legal requirements and the clear guidance to managers and employees will ensure consistency.  The absence of the policies would increase the risk of legal action against the Council with associated financial and employee relations implications.</w:t>
      </w:r>
      <w:r w:rsidRPr="00252B61">
        <w:rPr>
          <w:rFonts w:cs="Arial"/>
          <w:b/>
        </w:rPr>
        <w:t xml:space="preserve"> </w:t>
      </w:r>
      <w:r w:rsidR="00DE1FEB" w:rsidRPr="00252B61">
        <w:rPr>
          <w:rFonts w:cs="Arial"/>
        </w:rPr>
        <w:t>A</w:t>
      </w:r>
      <w:r w:rsidR="007B6E54" w:rsidRPr="00252B61">
        <w:rPr>
          <w:rFonts w:cs="Arial"/>
        </w:rPr>
        <w:t xml:space="preserve"> risk register </w:t>
      </w:r>
      <w:r w:rsidR="00414B21">
        <w:rPr>
          <w:rFonts w:cs="Arial"/>
        </w:rPr>
        <w:t xml:space="preserve">is attached at Appendix </w:t>
      </w:r>
      <w:r w:rsidR="00C1167C">
        <w:rPr>
          <w:rFonts w:cs="Arial"/>
        </w:rPr>
        <w:t>4</w:t>
      </w:r>
      <w:r w:rsidR="00414B21">
        <w:rPr>
          <w:rFonts w:cs="Arial"/>
        </w:rPr>
        <w:t>.</w:t>
      </w:r>
    </w:p>
    <w:p w:rsidR="007B6E54" w:rsidRPr="007B6E54" w:rsidRDefault="007B6E54">
      <w:pPr>
        <w:rPr>
          <w:rFonts w:cs="Arial"/>
          <w:b/>
        </w:rPr>
      </w:pPr>
    </w:p>
    <w:p w:rsidR="007B6E54" w:rsidRDefault="007B6E54">
      <w:pPr>
        <w:rPr>
          <w:rFonts w:cs="Arial"/>
          <w:b/>
        </w:rPr>
      </w:pPr>
      <w:r w:rsidRPr="007B6E54">
        <w:rPr>
          <w:rFonts w:cs="Arial"/>
          <w:b/>
        </w:rPr>
        <w:t>Equalities Impact</w:t>
      </w:r>
    </w:p>
    <w:p w:rsidR="00414B21" w:rsidRDefault="00414B21">
      <w:pPr>
        <w:rPr>
          <w:rFonts w:cs="Arial"/>
          <w:b/>
        </w:rPr>
      </w:pPr>
    </w:p>
    <w:p w:rsidR="007B6E54" w:rsidRPr="00252B61" w:rsidRDefault="00B438B9" w:rsidP="009E6298">
      <w:pPr>
        <w:pStyle w:val="ListParagraph"/>
        <w:numPr>
          <w:ilvl w:val="0"/>
          <w:numId w:val="5"/>
        </w:numPr>
        <w:rPr>
          <w:rFonts w:cs="Arial"/>
        </w:rPr>
      </w:pPr>
      <w:r w:rsidRPr="00252B61">
        <w:rPr>
          <w:rFonts w:cs="Arial"/>
        </w:rPr>
        <w:t>An initial Equalities Impact Asse</w:t>
      </w:r>
      <w:r w:rsidR="00414B21">
        <w:rPr>
          <w:rFonts w:cs="Arial"/>
        </w:rPr>
        <w:t xml:space="preserve">ssment is attached at Appendix </w:t>
      </w:r>
      <w:r w:rsidR="00C1167C">
        <w:rPr>
          <w:rFonts w:cs="Arial"/>
        </w:rPr>
        <w:t>5</w:t>
      </w:r>
      <w:r w:rsidRPr="00252B61">
        <w:rPr>
          <w:rFonts w:cs="Arial"/>
        </w:rPr>
        <w:t xml:space="preserve"> indicating there are no adverse impacts</w:t>
      </w:r>
    </w:p>
    <w:p w:rsidR="007B6E54" w:rsidRDefault="007B6E54">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B438B9">
              <w:t xml:space="preserve"> Simon Howick</w:t>
            </w:r>
          </w:p>
        </w:tc>
      </w:tr>
      <w:tr w:rsidR="00713675">
        <w:tc>
          <w:tcPr>
            <w:tcW w:w="8522" w:type="dxa"/>
          </w:tcPr>
          <w:p w:rsidR="00713675" w:rsidRDefault="00713675" w:rsidP="00855C66">
            <w:pPr>
              <w:tabs>
                <w:tab w:val="left" w:pos="720"/>
                <w:tab w:val="left" w:pos="1440"/>
                <w:tab w:val="left" w:pos="2160"/>
                <w:tab w:val="left" w:pos="2880"/>
              </w:tabs>
            </w:pPr>
            <w:r>
              <w:t>Job title</w:t>
            </w:r>
            <w:r w:rsidR="00B438B9">
              <w:t xml:space="preserve"> Head of Human Resources</w:t>
            </w:r>
            <w:r w:rsidR="00414B21">
              <w:t xml:space="preserve"> &amp; Facilities</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B438B9">
              <w:t xml:space="preserve"> Human Resources</w:t>
            </w:r>
          </w:p>
        </w:tc>
      </w:tr>
      <w:tr w:rsidR="00713675">
        <w:tc>
          <w:tcPr>
            <w:tcW w:w="8522" w:type="dxa"/>
          </w:tcPr>
          <w:p w:rsidR="00713675" w:rsidRDefault="00713675" w:rsidP="00B438B9">
            <w:pPr>
              <w:tabs>
                <w:tab w:val="left" w:pos="720"/>
                <w:tab w:val="left" w:pos="1440"/>
                <w:tab w:val="left" w:pos="2160"/>
                <w:tab w:val="left" w:pos="2880"/>
              </w:tabs>
              <w:rPr>
                <w:color w:val="0000FF"/>
                <w:u w:val="single"/>
              </w:rPr>
            </w:pPr>
            <w:r>
              <w:t xml:space="preserve">Tel:  01865 </w:t>
            </w:r>
            <w:r w:rsidR="00B438B9">
              <w:t>252547</w:t>
            </w:r>
            <w:r>
              <w:t xml:space="preserve">  e-mail: </w:t>
            </w:r>
            <w:r w:rsidR="00B438B9">
              <w:t>showick@oxford.gov.uk</w:t>
            </w:r>
            <w:r>
              <w:t xml:space="preserve"> </w:t>
            </w:r>
          </w:p>
        </w:tc>
      </w:tr>
    </w:tbl>
    <w:p w:rsidR="00F4367A" w:rsidRDefault="00F4367A">
      <w:pPr>
        <w:rPr>
          <w:rFonts w:cs="Arial"/>
          <w:b/>
          <w:bCs/>
          <w:sz w:val="20"/>
        </w:rPr>
      </w:pPr>
    </w:p>
    <w:sectPr w:rsidR="00F4367A" w:rsidSect="00590AE7">
      <w:footerReference w:type="default" r:id="rId9"/>
      <w:pgSz w:w="11906" w:h="16838"/>
      <w:pgMar w:top="1440" w:right="1440" w:bottom="1440" w:left="144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DF4" w:rsidRDefault="00086DF4">
      <w:r>
        <w:separator/>
      </w:r>
    </w:p>
  </w:endnote>
  <w:endnote w:type="continuationSeparator" w:id="0">
    <w:p w:rsidR="00086DF4" w:rsidRDefault="0008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21" w:rsidRDefault="00414B21">
    <w:pPr>
      <w:pStyle w:val="Footer"/>
      <w:jc w:val="right"/>
    </w:pPr>
  </w:p>
  <w:p w:rsidR="00414B21" w:rsidRDefault="00414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DF4" w:rsidRDefault="00086DF4">
      <w:r>
        <w:separator/>
      </w:r>
    </w:p>
  </w:footnote>
  <w:footnote w:type="continuationSeparator" w:id="0">
    <w:p w:rsidR="00086DF4" w:rsidRDefault="00086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7EA7"/>
    <w:multiLevelType w:val="hybridMultilevel"/>
    <w:tmpl w:val="E06069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C82096"/>
    <w:multiLevelType w:val="hybridMultilevel"/>
    <w:tmpl w:val="AAAAE2B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nsid w:val="0CDA2676"/>
    <w:multiLevelType w:val="hybridMultilevel"/>
    <w:tmpl w:val="6AA49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1C7E4F"/>
    <w:multiLevelType w:val="hybridMultilevel"/>
    <w:tmpl w:val="E464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AD5831"/>
    <w:multiLevelType w:val="hybridMultilevel"/>
    <w:tmpl w:val="212C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7B7A34"/>
    <w:multiLevelType w:val="hybridMultilevel"/>
    <w:tmpl w:val="D6C26F04"/>
    <w:lvl w:ilvl="0" w:tplc="7E46D73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3C2525"/>
    <w:multiLevelType w:val="hybridMultilevel"/>
    <w:tmpl w:val="F6744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C31BCB"/>
    <w:multiLevelType w:val="hybridMultilevel"/>
    <w:tmpl w:val="27A2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0"/>
  </w:num>
  <w:num w:numId="6">
    <w:abstractNumId w:val="8"/>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25A8B"/>
    <w:rsid w:val="00056263"/>
    <w:rsid w:val="00086DF4"/>
    <w:rsid w:val="000C3928"/>
    <w:rsid w:val="00103E25"/>
    <w:rsid w:val="001348F7"/>
    <w:rsid w:val="0013599B"/>
    <w:rsid w:val="001C379D"/>
    <w:rsid w:val="00252B61"/>
    <w:rsid w:val="00287FB7"/>
    <w:rsid w:val="002C3539"/>
    <w:rsid w:val="0039011B"/>
    <w:rsid w:val="00414B21"/>
    <w:rsid w:val="00465EAF"/>
    <w:rsid w:val="00505802"/>
    <w:rsid w:val="0052634D"/>
    <w:rsid w:val="00560541"/>
    <w:rsid w:val="00590AE7"/>
    <w:rsid w:val="005C6B97"/>
    <w:rsid w:val="00623C2F"/>
    <w:rsid w:val="006E3B55"/>
    <w:rsid w:val="006F416B"/>
    <w:rsid w:val="00713675"/>
    <w:rsid w:val="00760D3E"/>
    <w:rsid w:val="00763543"/>
    <w:rsid w:val="007B6E54"/>
    <w:rsid w:val="007B7AC4"/>
    <w:rsid w:val="007F2BB6"/>
    <w:rsid w:val="00855C66"/>
    <w:rsid w:val="0088625B"/>
    <w:rsid w:val="008D3DDB"/>
    <w:rsid w:val="00947D06"/>
    <w:rsid w:val="00964323"/>
    <w:rsid w:val="00971689"/>
    <w:rsid w:val="00973E90"/>
    <w:rsid w:val="009E6298"/>
    <w:rsid w:val="00A92D8F"/>
    <w:rsid w:val="00AD3292"/>
    <w:rsid w:val="00AE5AB8"/>
    <w:rsid w:val="00AF2596"/>
    <w:rsid w:val="00B438B9"/>
    <w:rsid w:val="00B45086"/>
    <w:rsid w:val="00C1167C"/>
    <w:rsid w:val="00C2692F"/>
    <w:rsid w:val="00CB70A5"/>
    <w:rsid w:val="00CC3662"/>
    <w:rsid w:val="00D214D9"/>
    <w:rsid w:val="00D50F81"/>
    <w:rsid w:val="00DE1FEB"/>
    <w:rsid w:val="00E01F42"/>
    <w:rsid w:val="00E4055F"/>
    <w:rsid w:val="00EA0DB1"/>
    <w:rsid w:val="00EA2FDD"/>
    <w:rsid w:val="00EA3443"/>
    <w:rsid w:val="00EE6C01"/>
    <w:rsid w:val="00EF7831"/>
    <w:rsid w:val="00F41A26"/>
    <w:rsid w:val="00F4367A"/>
    <w:rsid w:val="00F7606D"/>
    <w:rsid w:val="00FA624C"/>
    <w:rsid w:val="00FD34CA"/>
    <w:rsid w:val="00FE5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EA3443"/>
    <w:pPr>
      <w:ind w:left="720"/>
      <w:contextualSpacing/>
    </w:pPr>
  </w:style>
  <w:style w:type="table" w:styleId="TableGrid">
    <w:name w:val="Table Grid"/>
    <w:basedOn w:val="TableNormal"/>
    <w:rsid w:val="00D50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4B21"/>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414B21"/>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EA3443"/>
    <w:pPr>
      <w:ind w:left="720"/>
      <w:contextualSpacing/>
    </w:pPr>
  </w:style>
  <w:style w:type="table" w:styleId="TableGrid">
    <w:name w:val="Table Grid"/>
    <w:basedOn w:val="TableNormal"/>
    <w:rsid w:val="00D50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4B21"/>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414B21"/>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162865">
      <w:bodyDiv w:val="1"/>
      <w:marLeft w:val="0"/>
      <w:marRight w:val="0"/>
      <w:marTop w:val="0"/>
      <w:marBottom w:val="0"/>
      <w:divBdr>
        <w:top w:val="none" w:sz="0" w:space="0" w:color="auto"/>
        <w:left w:val="none" w:sz="0" w:space="0" w:color="auto"/>
        <w:bottom w:val="none" w:sz="0" w:space="0" w:color="auto"/>
        <w:right w:val="none" w:sz="0" w:space="0" w:color="auto"/>
      </w:divBdr>
    </w:div>
    <w:div w:id="19188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FE504219.dotm</Template>
  <TotalTime>31</TotalTime>
  <Pages>3</Pages>
  <Words>836</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7</cp:revision>
  <cp:lastPrinted>2010-10-15T09:32:00Z</cp:lastPrinted>
  <dcterms:created xsi:type="dcterms:W3CDTF">2015-03-25T11:20:00Z</dcterms:created>
  <dcterms:modified xsi:type="dcterms:W3CDTF">2015-04-01T10:28:00Z</dcterms:modified>
</cp:coreProperties>
</file>